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E5848" w14:paraId="7F56B1A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D3FD98D" w14:textId="77777777" w:rsidR="00DE5848" w:rsidRDefault="00CA0A5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589B7A3" w14:textId="77777777" w:rsidR="00DE5848" w:rsidRDefault="00CA0A5F">
            <w:pPr>
              <w:spacing w:after="0" w:line="240" w:lineRule="auto"/>
            </w:pPr>
            <w:r>
              <w:t>9739</w:t>
            </w:r>
          </w:p>
        </w:tc>
      </w:tr>
      <w:tr w:rsidR="00DE5848" w14:paraId="61BE395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BE9E115" w14:textId="77777777" w:rsidR="00DE5848" w:rsidRDefault="00CA0A5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66CA9E3" w14:textId="77777777" w:rsidR="00DE5848" w:rsidRDefault="00CA0A5F">
            <w:pPr>
              <w:spacing w:after="0" w:line="240" w:lineRule="auto"/>
            </w:pPr>
            <w:r>
              <w:t>O.Š. IVANA GORANA KOVAČIĆA, VELIKA</w:t>
            </w:r>
          </w:p>
        </w:tc>
      </w:tr>
      <w:tr w:rsidR="00DE5848" w14:paraId="4E1DD12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9AA8A35" w14:textId="77777777" w:rsidR="00DE5848" w:rsidRDefault="00CA0A5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E84F7A8" w14:textId="77777777" w:rsidR="00DE5848" w:rsidRDefault="00CA0A5F">
            <w:pPr>
              <w:spacing w:after="0" w:line="240" w:lineRule="auto"/>
            </w:pPr>
            <w:r>
              <w:t>31</w:t>
            </w:r>
          </w:p>
        </w:tc>
      </w:tr>
    </w:tbl>
    <w:p w14:paraId="68EDBF60" w14:textId="77777777" w:rsidR="00DE5848" w:rsidRDefault="00CA0A5F">
      <w:r>
        <w:br/>
      </w:r>
    </w:p>
    <w:p w14:paraId="03D3A989" w14:textId="77777777" w:rsidR="00DE5848" w:rsidRDefault="00CA0A5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A1B9035" w14:textId="77777777" w:rsidR="00DE5848" w:rsidRDefault="00CA0A5F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E783E3C" w14:textId="77777777" w:rsidR="00DE5848" w:rsidRDefault="00CA0A5F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5F85CBD" w14:textId="77777777" w:rsidR="00DE5848" w:rsidRDefault="00DE5848"/>
    <w:p w14:paraId="440A8970" w14:textId="77777777" w:rsidR="00DE5848" w:rsidRDefault="00CA0A5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347722A" w14:textId="77777777" w:rsidR="00DE5848" w:rsidRDefault="00CA0A5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5848" w14:paraId="0CF03F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3A55A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B3D59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D3608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E9B4F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90DB4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F6A5E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848" w14:paraId="4C23E0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C33F9D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6C751B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54515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C7F9E9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2.628.554,64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CB6431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2.128.484,53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F9215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81,0</w:t>
            </w:r>
          </w:p>
        </w:tc>
      </w:tr>
      <w:tr w:rsidR="00DE5848" w14:paraId="759133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3387E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4AF977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10CD7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66804D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2.466.213,11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54EEE7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2.247.344,05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5DE118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91,1</w:t>
            </w:r>
          </w:p>
        </w:tc>
      </w:tr>
      <w:tr w:rsidR="00DE5848" w14:paraId="7E6FE8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E8CAC" w14:textId="77777777" w:rsidR="00DE5848" w:rsidRDefault="00DE58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477E1F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BE4AB9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455E91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49C5D3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118.859,52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73819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E5848" w14:paraId="6D3E0F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72EAB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362313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C5848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03ADD5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307887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CBD10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E5848" w14:paraId="5D7CB1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F55CA7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F021A5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7B2E0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A60AF3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166.351,42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FEE25F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58.615,04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F250A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35,2</w:t>
            </w:r>
          </w:p>
        </w:tc>
      </w:tr>
      <w:tr w:rsidR="00DE5848" w14:paraId="3DB4AE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1800D" w14:textId="77777777" w:rsidR="00DE5848" w:rsidRDefault="00DE58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5A2EBF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FF574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85975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166.351,42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CC9554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58.615,04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9775B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35,2</w:t>
            </w:r>
          </w:p>
        </w:tc>
      </w:tr>
      <w:tr w:rsidR="00DE5848" w14:paraId="0A31F0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B5443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FC7404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BA9F2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B3A9B8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82B49D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57AA6D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E5848" w14:paraId="6F2AE6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8B988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526A8C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E7C64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6C1CC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C59529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82EDE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E5848" w14:paraId="11ECEF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6D165" w14:textId="77777777" w:rsidR="00DE5848" w:rsidRDefault="00DE58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FC034E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7AB98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1E9B0A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2ED102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515AA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E5848" w14:paraId="30608C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58BA9" w14:textId="77777777" w:rsidR="00DE5848" w:rsidRDefault="00DE58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BBAB1C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A02D69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FADFA0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4.009,89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61C5BB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177.474,56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B7126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4425,9</w:t>
            </w:r>
          </w:p>
        </w:tc>
      </w:tr>
    </w:tbl>
    <w:p w14:paraId="030C57CB" w14:textId="77777777" w:rsidR="00DE5848" w:rsidRDefault="00DE5848">
      <w:pPr>
        <w:spacing w:after="0"/>
      </w:pPr>
    </w:p>
    <w:p w14:paraId="0B90B07C" w14:textId="77777777" w:rsidR="00DE5848" w:rsidRDefault="00CA0A5F">
      <w:r>
        <w:t xml:space="preserve">Osnovna škola Ivan Goran Kovačić Velika javna je ustanova koja obavlja djelatnost odgoja i osnovnoga obrazovanja na temelju zakona o ustanovama i Zakona o odgoju i obrazovanju u osnovnoj i srednjoj školi. Sjedište škole je u </w:t>
      </w:r>
      <w:proofErr w:type="spellStart"/>
      <w:r>
        <w:t>Velkoj</w:t>
      </w:r>
      <w:proofErr w:type="spellEnd"/>
      <w:r>
        <w:t xml:space="preserve">. Škola ima organizirani </w:t>
      </w:r>
      <w:r>
        <w:t xml:space="preserve">rad u jednoj smjeni i ima 3 područne škole: PŠ </w:t>
      </w:r>
      <w:proofErr w:type="spellStart"/>
      <w:r>
        <w:t>Biškupci</w:t>
      </w:r>
      <w:proofErr w:type="spellEnd"/>
      <w:r>
        <w:t xml:space="preserve">, PŠ </w:t>
      </w:r>
      <w:proofErr w:type="spellStart"/>
      <w:r>
        <w:t>Radovanci</w:t>
      </w:r>
      <w:proofErr w:type="spellEnd"/>
      <w:r>
        <w:t xml:space="preserve"> i PŠ Toranj. Škola provodi svoju djelatnost na temelju nastavnog plana i programa osnovnog obrazovanja, te nacionalnog i školskog kurikuluma.</w:t>
      </w:r>
    </w:p>
    <w:p w14:paraId="48CF3F32" w14:textId="77777777" w:rsidR="00DE5848" w:rsidRDefault="00CA0A5F">
      <w:r>
        <w:lastRenderedPageBreak/>
        <w:t xml:space="preserve">Bilješke uz financijske izvještaje sastavni </w:t>
      </w:r>
      <w:r>
        <w:t>su dio financijskih izvještaja proračuna temeljem Pravilnika o financijskom izvještavanju u proračunskom računovodstvu.</w:t>
      </w:r>
    </w:p>
    <w:p w14:paraId="51B829D6" w14:textId="77777777" w:rsidR="00DE5848" w:rsidRDefault="00CA0A5F">
      <w:r>
        <w:t xml:space="preserve">Osnovna škola Ivan Goran Kovačić Velika pri evidentiranju poslovnih promjena primjenjuje  </w:t>
      </w:r>
      <w:proofErr w:type="spellStart"/>
      <w:r>
        <w:t>modoficirano</w:t>
      </w:r>
      <w:proofErr w:type="spellEnd"/>
      <w:r>
        <w:t xml:space="preserve"> računovodstveno načelo priznavanj</w:t>
      </w:r>
      <w:r>
        <w:t>a prihoda i rashoda, te je obveznik dvojnog proračunskog računovodstva.</w:t>
      </w:r>
    </w:p>
    <w:p w14:paraId="2129C8A4" w14:textId="77777777" w:rsidR="00DE5848" w:rsidRDefault="00CA0A5F">
      <w:r>
        <w:t>Osnovna djelatnost škole je odgoj i osnovno obrazovanje. </w:t>
      </w:r>
    </w:p>
    <w:p w14:paraId="5B030382" w14:textId="77777777" w:rsidR="00DE5848" w:rsidRDefault="00CA0A5F">
      <w:r>
        <w:t>Odgovorna osoba škole je Marija Garić, ravnateljica škole.</w:t>
      </w:r>
    </w:p>
    <w:p w14:paraId="1DAA7A74" w14:textId="77777777" w:rsidR="00DE5848" w:rsidRDefault="00CA0A5F">
      <w:r>
        <w:t>Osoba koja je sastavljala Bilješke je Martina Rih, voditelj računov</w:t>
      </w:r>
      <w:r>
        <w:t>odstva školske ustanove, a ujedno je i odgovorna i za sastavljanje financijskih izvještaja.</w:t>
      </w:r>
    </w:p>
    <w:p w14:paraId="30288105" w14:textId="77777777" w:rsidR="00DE5848" w:rsidRDefault="00CA0A5F">
      <w:r>
        <w:br/>
      </w:r>
    </w:p>
    <w:p w14:paraId="1CEA5E3B" w14:textId="77777777" w:rsidR="00DE5848" w:rsidRDefault="00CA0A5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5848" w14:paraId="39D38C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DC6DC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2E66E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EAAC8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A8391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5FB09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C6C4C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848" w14:paraId="50F843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B61DD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A60B9D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1865F1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0BBB93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2.628.554,64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27B4F8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2.128.484,53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65B46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81,0</w:t>
            </w:r>
          </w:p>
        </w:tc>
      </w:tr>
    </w:tbl>
    <w:p w14:paraId="5F3CB301" w14:textId="77777777" w:rsidR="00DE5848" w:rsidRDefault="00DE5848">
      <w:pPr>
        <w:spacing w:after="0"/>
      </w:pPr>
    </w:p>
    <w:p w14:paraId="36AC0900" w14:textId="77777777" w:rsidR="00DE5848" w:rsidRDefault="00CA0A5F">
      <w:r>
        <w:t xml:space="preserve">U razdoblju od 01.01. 2025. do 31.12. 2025. godine Osnovna škola Ivan Goran Kovačić Velika ostvarila je </w:t>
      </w:r>
      <w:r>
        <w:rPr>
          <w:b/>
        </w:rPr>
        <w:t xml:space="preserve">prihode poslovanja u iznosu od : 2.128.484,53 €, </w:t>
      </w:r>
      <w:r>
        <w:t>iskazan na šifri 6 Referentne stranice.</w:t>
      </w:r>
    </w:p>
    <w:p w14:paraId="00E22476" w14:textId="77777777" w:rsidR="00DE5848" w:rsidRDefault="00CA0A5F">
      <w:r>
        <w:rPr>
          <w:b/>
        </w:rPr>
        <w:t>Ukupni prihodi su:</w:t>
      </w:r>
    </w:p>
    <w:p w14:paraId="7E9D8613" w14:textId="77777777" w:rsidR="00DE5848" w:rsidRDefault="00CA0A5F">
      <w:r>
        <w:rPr>
          <w:i/>
        </w:rPr>
        <w:t xml:space="preserve">šifra 636- Pomoći </w:t>
      </w:r>
      <w:proofErr w:type="spellStart"/>
      <w:r>
        <w:rPr>
          <w:i/>
        </w:rPr>
        <w:t>prorač.korisn</w:t>
      </w:r>
      <w:proofErr w:type="spellEnd"/>
      <w:r>
        <w:rPr>
          <w:i/>
        </w:rPr>
        <w:t xml:space="preserve">. iz </w:t>
      </w:r>
      <w:proofErr w:type="spellStart"/>
      <w:r>
        <w:rPr>
          <w:i/>
        </w:rPr>
        <w:t>prorač</w:t>
      </w:r>
      <w:proofErr w:type="spellEnd"/>
      <w:r>
        <w:rPr>
          <w:i/>
        </w:rPr>
        <w:t xml:space="preserve">. </w:t>
      </w:r>
      <w:r>
        <w:rPr>
          <w:i/>
        </w:rPr>
        <w:t>koji im nije nadležan- 1.933.023,69 €</w:t>
      </w:r>
    </w:p>
    <w:p w14:paraId="7C2D847B" w14:textId="77777777" w:rsidR="00DE5848" w:rsidRDefault="00CA0A5F">
      <w:r>
        <w:rPr>
          <w:i/>
        </w:rPr>
        <w:t xml:space="preserve">šifra 639- Prijenosi između </w:t>
      </w:r>
      <w:proofErr w:type="spellStart"/>
      <w:r>
        <w:rPr>
          <w:i/>
        </w:rPr>
        <w:t>prorač.korisn</w:t>
      </w:r>
      <w:proofErr w:type="spellEnd"/>
      <w:r>
        <w:rPr>
          <w:i/>
        </w:rPr>
        <w:t>. istog proračuna - 29.470,67 €</w:t>
      </w:r>
    </w:p>
    <w:p w14:paraId="7940588B" w14:textId="77777777" w:rsidR="00DE5848" w:rsidRDefault="00CA0A5F">
      <w:r>
        <w:rPr>
          <w:i/>
        </w:rPr>
        <w:t>šifra 652- prihodi po posebnim propisima - 226,34 €</w:t>
      </w:r>
    </w:p>
    <w:p w14:paraId="3491C20F" w14:textId="77777777" w:rsidR="00DE5848" w:rsidRDefault="00CA0A5F">
      <w:r>
        <w:rPr>
          <w:i/>
        </w:rPr>
        <w:t xml:space="preserve">šifra 661- prihodi od pruženih usluga- najam </w:t>
      </w:r>
      <w:proofErr w:type="spellStart"/>
      <w:r>
        <w:rPr>
          <w:i/>
        </w:rPr>
        <w:t>dvor,poljop.zemlj</w:t>
      </w:r>
      <w:proofErr w:type="spellEnd"/>
      <w:r>
        <w:rPr>
          <w:i/>
        </w:rPr>
        <w:t xml:space="preserve"> i ostalog prostora - 7.155,00 </w:t>
      </w:r>
      <w:r>
        <w:rPr>
          <w:i/>
        </w:rPr>
        <w:t>€</w:t>
      </w:r>
    </w:p>
    <w:p w14:paraId="56CE9323" w14:textId="77777777" w:rsidR="00DE5848" w:rsidRDefault="00CA0A5F">
      <w:r>
        <w:rPr>
          <w:i/>
        </w:rPr>
        <w:t xml:space="preserve">šifra 663- donacije od </w:t>
      </w:r>
      <w:proofErr w:type="spellStart"/>
      <w:r>
        <w:rPr>
          <w:i/>
        </w:rPr>
        <w:t>prav.i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fiz</w:t>
      </w:r>
      <w:proofErr w:type="spellEnd"/>
      <w:r>
        <w:rPr>
          <w:i/>
        </w:rPr>
        <w:t>. osoba izvan općeg proračuna - 1.680,00 €</w:t>
      </w:r>
    </w:p>
    <w:p w14:paraId="4DEF8FD0" w14:textId="77777777" w:rsidR="00DE5848" w:rsidRDefault="00CA0A5F">
      <w:r>
        <w:rPr>
          <w:i/>
        </w:rPr>
        <w:t xml:space="preserve">šifra 671- </w:t>
      </w:r>
      <w:proofErr w:type="spellStart"/>
      <w:r>
        <w:rPr>
          <w:i/>
        </w:rPr>
        <w:t>prih</w:t>
      </w:r>
      <w:proofErr w:type="spellEnd"/>
      <w:r>
        <w:rPr>
          <w:i/>
        </w:rPr>
        <w:t xml:space="preserve">. iz </w:t>
      </w:r>
      <w:proofErr w:type="spellStart"/>
      <w:r>
        <w:rPr>
          <w:i/>
        </w:rPr>
        <w:t>nadlež.prorač</w:t>
      </w:r>
      <w:proofErr w:type="spellEnd"/>
      <w:r>
        <w:rPr>
          <w:i/>
        </w:rPr>
        <w:t xml:space="preserve">. za </w:t>
      </w:r>
      <w:proofErr w:type="spellStart"/>
      <w:r>
        <w:rPr>
          <w:i/>
        </w:rPr>
        <w:t>financ.redovne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djel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pror.korisnika</w:t>
      </w:r>
      <w:proofErr w:type="spellEnd"/>
      <w:r>
        <w:rPr>
          <w:i/>
        </w:rPr>
        <w:t xml:space="preserve"> - 154.124,60 €</w:t>
      </w:r>
    </w:p>
    <w:p w14:paraId="7A6D0031" w14:textId="77777777" w:rsidR="00DE5848" w:rsidRDefault="00CA0A5F">
      <w:r>
        <w:rPr>
          <w:i/>
        </w:rPr>
        <w:t xml:space="preserve">šifra 683- ostali prihodi- </w:t>
      </w:r>
      <w:proofErr w:type="spellStart"/>
      <w:r>
        <w:rPr>
          <w:i/>
        </w:rPr>
        <w:t>kreat</w:t>
      </w:r>
      <w:proofErr w:type="spellEnd"/>
      <w:r>
        <w:rPr>
          <w:i/>
        </w:rPr>
        <w:t xml:space="preserve">. i </w:t>
      </w:r>
      <w:proofErr w:type="spellStart"/>
      <w:r>
        <w:rPr>
          <w:i/>
        </w:rPr>
        <w:t>neov</w:t>
      </w:r>
      <w:proofErr w:type="spellEnd"/>
      <w:r>
        <w:rPr>
          <w:i/>
        </w:rPr>
        <w:t>.,stari papir - 2.804,23 €</w:t>
      </w:r>
    </w:p>
    <w:p w14:paraId="42AD4BA4" w14:textId="77777777" w:rsidR="00DE5848" w:rsidRDefault="00CA0A5F">
      <w:r>
        <w:t> </w:t>
      </w:r>
    </w:p>
    <w:p w14:paraId="0D3BA587" w14:textId="77777777" w:rsidR="00DE5848" w:rsidRDefault="00CA0A5F">
      <w:r>
        <w:t>Prihodi poslovanja n</w:t>
      </w:r>
      <w:r>
        <w:t>a obrascu PR-RAS na šifri 6 u odnosu na ostvarenje u izvještajnom razdoblju prethodne godine, pokazuje indeks od 81 %, što ukazuje da nije došlo do  značajnijeg povećanja prihoda.</w:t>
      </w:r>
    </w:p>
    <w:p w14:paraId="4449E271" w14:textId="77777777" w:rsidR="00DE5848" w:rsidRDefault="00DE5848"/>
    <w:p w14:paraId="6180DDF1" w14:textId="77777777" w:rsidR="00DE5848" w:rsidRDefault="00CA0A5F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5848" w14:paraId="3B7C91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F5F0A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DB91B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31CAC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FC07D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83242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CE651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848" w14:paraId="59F7F2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A9729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E5C6A1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1D3F2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2CD35D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7.110,23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B57891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29.470,67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DF2E17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414,5</w:t>
            </w:r>
          </w:p>
        </w:tc>
      </w:tr>
    </w:tbl>
    <w:p w14:paraId="182EA439" w14:textId="77777777" w:rsidR="00DE5848" w:rsidRDefault="00DE5848">
      <w:pPr>
        <w:spacing w:after="0"/>
      </w:pPr>
    </w:p>
    <w:p w14:paraId="505ECE70" w14:textId="77777777" w:rsidR="00DE5848" w:rsidRDefault="00CA0A5F">
      <w:r>
        <w:t xml:space="preserve">Na </w:t>
      </w:r>
      <w:proofErr w:type="spellStart"/>
      <w:r>
        <w:t>cto</w:t>
      </w:r>
      <w:proofErr w:type="spellEnd"/>
      <w:r>
        <w:t xml:space="preserve">. prihoda 639 u odnosu na prethodnu godinu indeks je 414,5%, a radi se o tome što se prethodne godine na </w:t>
      </w:r>
      <w:proofErr w:type="spellStart"/>
      <w:r>
        <w:t>cto</w:t>
      </w:r>
      <w:proofErr w:type="spellEnd"/>
      <w:r>
        <w:t>. 63931001 knjižila samo Školska shema, a ove godine na tom istom kontu prihoda knjižila se i Školska shema i projekt Obrazujmo se zajedno VII</w:t>
      </w:r>
      <w:r>
        <w:t>I . Iz toga razloga je i došlo do većeg povećanja indeksa!</w:t>
      </w:r>
    </w:p>
    <w:p w14:paraId="60226D36" w14:textId="77777777" w:rsidR="00DE5848" w:rsidRDefault="00DE5848"/>
    <w:p w14:paraId="23C4983F" w14:textId="77777777" w:rsidR="00DE5848" w:rsidRDefault="00CA0A5F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5848" w14:paraId="5A8DED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16461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4BF9E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7FD33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9371D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4261C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6BA17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848" w14:paraId="753D52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ABACF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0D5F47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D1CF5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1CA7B7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5AE09D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67A54C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1014,9</w:t>
            </w:r>
          </w:p>
        </w:tc>
      </w:tr>
    </w:tbl>
    <w:p w14:paraId="4C982522" w14:textId="77777777" w:rsidR="00DE5848" w:rsidRDefault="00DE5848">
      <w:pPr>
        <w:spacing w:after="0"/>
      </w:pPr>
    </w:p>
    <w:p w14:paraId="03D5752D" w14:textId="77777777" w:rsidR="00DE5848" w:rsidRDefault="00CA0A5F">
      <w:r>
        <w:t xml:space="preserve">Prihodi na kontu 66312001, šifra u </w:t>
      </w:r>
      <w:proofErr w:type="spellStart"/>
      <w:r>
        <w:t>PRRASu</w:t>
      </w:r>
      <w:proofErr w:type="spellEnd"/>
      <w:r>
        <w:t xml:space="preserve"> 6631- tekuće donacije od neprofitnih organizacija, u odnosu na ostvarenje prošle godine za navedeno razdoblje pokazuje indeks 1.014,9 %, što ukazuje na povećanje, a razlog tome je što je preth</w:t>
      </w:r>
      <w:r>
        <w:t xml:space="preserve">odne godine to bio prihod od GDCK, za provođenje humanitarne akcije, a u 2025. god. uz također taj prihod od </w:t>
      </w:r>
      <w:proofErr w:type="spellStart"/>
      <w:r>
        <w:t>GDCKa</w:t>
      </w:r>
      <w:proofErr w:type="spellEnd"/>
      <w:r>
        <w:t xml:space="preserve"> smo imali i prihod  Hrabri telefon za projekt " Škole hrabrosti ".</w:t>
      </w:r>
    </w:p>
    <w:p w14:paraId="2EFD0170" w14:textId="77777777" w:rsidR="00DE5848" w:rsidRDefault="00DE5848"/>
    <w:p w14:paraId="3B2CE11B" w14:textId="77777777" w:rsidR="00DE5848" w:rsidRDefault="00CA0A5F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5848" w14:paraId="6F1F8D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4A439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CE942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D7EEA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AAD19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F8CF8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FEDB9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848" w14:paraId="383AAF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8BEE69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45F8A8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60F595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BA49F2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497,27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B38335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2.804,23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D6E3C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563,9</w:t>
            </w:r>
          </w:p>
        </w:tc>
      </w:tr>
    </w:tbl>
    <w:p w14:paraId="3E6C2BE1" w14:textId="77777777" w:rsidR="00DE5848" w:rsidRDefault="00DE5848">
      <w:pPr>
        <w:spacing w:after="0"/>
      </w:pPr>
    </w:p>
    <w:p w14:paraId="56DC27CF" w14:textId="77777777" w:rsidR="00DE5848" w:rsidRDefault="00CA0A5F">
      <w:r>
        <w:t xml:space="preserve">Na konto kartici 68311001 - ostali prihodi, u odnosu na prošlu godinu indeks je uvećan i iznosi 563,9 %. U 2024. god. taj prihod ukupni je bio 497,27 €, a 2025. god. u razdoblju do 31.12.2025. na </w:t>
      </w:r>
      <w:proofErr w:type="spellStart"/>
      <w:r>
        <w:t>cto</w:t>
      </w:r>
      <w:proofErr w:type="spellEnd"/>
      <w:r>
        <w:t>. 68311001 imali smo prihode od ukupno: 2.804,23 €.</w:t>
      </w:r>
    </w:p>
    <w:p w14:paraId="56F01E91" w14:textId="77777777" w:rsidR="00DE5848" w:rsidRDefault="00CA0A5F">
      <w:r>
        <w:t>Prošl</w:t>
      </w:r>
      <w:r>
        <w:t xml:space="preserve">e godine na navedenom kontu imali smo prihode za: uplate Unija papir za </w:t>
      </w:r>
      <w:proofErr w:type="spellStart"/>
      <w:r>
        <w:t>mješane</w:t>
      </w:r>
      <w:proofErr w:type="spellEnd"/>
      <w:r>
        <w:t xml:space="preserve"> otpatke papira, Kreativni i neovisni.. a 2025. god. imali smo i prihode od najma za korištenja zemljišta po ugovoru ( lunapark), uplaćena sredstva od školske Učeničke zadruge P</w:t>
      </w:r>
      <w:r>
        <w:t>apuk!</w:t>
      </w:r>
    </w:p>
    <w:p w14:paraId="54D18FDE" w14:textId="77777777" w:rsidR="00DE5848" w:rsidRDefault="00DE5848"/>
    <w:p w14:paraId="068926C5" w14:textId="77777777" w:rsidR="00DE5848" w:rsidRDefault="00CA0A5F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5848" w14:paraId="26BE6F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1155A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D09F7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434A0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3CD8C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12B3C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45930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848" w14:paraId="3701F9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D07AD2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04C519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A1ED5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4DA78D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2.466.213,11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217B5B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2.247.344,05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60F33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91,1</w:t>
            </w:r>
          </w:p>
        </w:tc>
      </w:tr>
    </w:tbl>
    <w:p w14:paraId="61D76656" w14:textId="77777777" w:rsidR="00DE5848" w:rsidRDefault="00DE5848">
      <w:pPr>
        <w:spacing w:after="0"/>
      </w:pPr>
    </w:p>
    <w:p w14:paraId="1F7DC96F" w14:textId="77777777" w:rsidR="00DE5848" w:rsidRDefault="00CA0A5F">
      <w:r>
        <w:rPr>
          <w:b/>
        </w:rPr>
        <w:t>Rashodi poslovanja</w:t>
      </w:r>
      <w:r>
        <w:t xml:space="preserve"> OŠ Ivan Goran Kovačić Velika ostvareni od 01.01. do 31.12.2025. na šifri 3 Referentne stranice iznosi : 2.247.344,05 €., a čine ih:</w:t>
      </w:r>
    </w:p>
    <w:p w14:paraId="37A57926" w14:textId="77777777" w:rsidR="00DE5848" w:rsidRDefault="00CA0A5F">
      <w:r>
        <w:rPr>
          <w:i/>
        </w:rPr>
        <w:t xml:space="preserve">Rashodi za zaposlene- </w:t>
      </w:r>
      <w:proofErr w:type="spellStart"/>
      <w:r>
        <w:rPr>
          <w:i/>
        </w:rPr>
        <w:t>cto</w:t>
      </w:r>
      <w:proofErr w:type="spellEnd"/>
      <w:r>
        <w:rPr>
          <w:i/>
        </w:rPr>
        <w:t>. 31 - 1.807.804,51 €</w:t>
      </w:r>
    </w:p>
    <w:p w14:paraId="622567C4" w14:textId="77777777" w:rsidR="00DE5848" w:rsidRDefault="00CA0A5F">
      <w:r>
        <w:rPr>
          <w:i/>
        </w:rPr>
        <w:t xml:space="preserve">Materijalni rashodi - </w:t>
      </w:r>
      <w:proofErr w:type="spellStart"/>
      <w:r>
        <w:rPr>
          <w:i/>
        </w:rPr>
        <w:t>cto</w:t>
      </w:r>
      <w:proofErr w:type="spellEnd"/>
      <w:r>
        <w:rPr>
          <w:i/>
        </w:rPr>
        <w:t>. 32 - 406.21</w:t>
      </w:r>
      <w:r>
        <w:rPr>
          <w:i/>
        </w:rPr>
        <w:t>8,26 €</w:t>
      </w:r>
    </w:p>
    <w:p w14:paraId="500AB68C" w14:textId="77777777" w:rsidR="00DE5848" w:rsidRDefault="00CA0A5F">
      <w:r>
        <w:rPr>
          <w:i/>
        </w:rPr>
        <w:t xml:space="preserve">Naknada </w:t>
      </w:r>
      <w:proofErr w:type="spellStart"/>
      <w:r>
        <w:rPr>
          <w:i/>
        </w:rPr>
        <w:t>građ</w:t>
      </w:r>
      <w:proofErr w:type="spellEnd"/>
      <w:r>
        <w:rPr>
          <w:i/>
        </w:rPr>
        <w:t xml:space="preserve">. i </w:t>
      </w:r>
      <w:proofErr w:type="spellStart"/>
      <w:r>
        <w:rPr>
          <w:i/>
        </w:rPr>
        <w:t>kućans</w:t>
      </w:r>
      <w:proofErr w:type="spellEnd"/>
      <w:r>
        <w:rPr>
          <w:i/>
        </w:rPr>
        <w:t xml:space="preserve">. u naravi - </w:t>
      </w:r>
      <w:proofErr w:type="spellStart"/>
      <w:r>
        <w:rPr>
          <w:i/>
        </w:rPr>
        <w:t>cto</w:t>
      </w:r>
      <w:proofErr w:type="spellEnd"/>
      <w:r>
        <w:rPr>
          <w:i/>
        </w:rPr>
        <w:t>. 37 - 32.742,00 €</w:t>
      </w:r>
    </w:p>
    <w:p w14:paraId="460A0BB9" w14:textId="77777777" w:rsidR="00DE5848" w:rsidRDefault="00CA0A5F">
      <w:r>
        <w:rPr>
          <w:i/>
        </w:rPr>
        <w:t xml:space="preserve">Ostali rashodi - </w:t>
      </w:r>
      <w:proofErr w:type="spellStart"/>
      <w:r>
        <w:rPr>
          <w:i/>
        </w:rPr>
        <w:t>cto</w:t>
      </w:r>
      <w:proofErr w:type="spellEnd"/>
      <w:r>
        <w:rPr>
          <w:i/>
        </w:rPr>
        <w:t>. 38 - 579,28 €</w:t>
      </w:r>
    </w:p>
    <w:p w14:paraId="0A70A382" w14:textId="77777777" w:rsidR="00DE5848" w:rsidRDefault="00CA0A5F">
      <w:r>
        <w:rPr>
          <w:b/>
        </w:rPr>
        <w:t>UKUPNO:                       2.247.344,05 €</w:t>
      </w:r>
    </w:p>
    <w:p w14:paraId="1E3D69E7" w14:textId="77777777" w:rsidR="00DE5848" w:rsidRDefault="00CA0A5F">
      <w:r>
        <w:t>Rashodi poslovanja na obrascu PR-RAS u odnosu na ostvarenje u izvještajnom razdoblju prethodne godine, pokazuje</w:t>
      </w:r>
      <w:r>
        <w:t xml:space="preserve"> indeks od 91,1%, što ukazuje da do nekog velikog povećanja u rashodima i nije bilo.</w:t>
      </w:r>
    </w:p>
    <w:p w14:paraId="351474D2" w14:textId="77777777" w:rsidR="00DE5848" w:rsidRDefault="00CA0A5F">
      <w:r>
        <w:t>Rashodi u izvještajnom razdoblju od I-XII mj. 2025. evidentirano su veći u odnosu na ukupne prihode, a razlog tome je knjiženje obračuna plaće redovnih zaposlenika škole z</w:t>
      </w:r>
      <w:r>
        <w:t>a mjesec prosinac ( 12. ) 2025. sa danom 31.12.2025., kao i obračun plaće za Pomoćnike u nastavi ( Obrazujmo se zajedno VIII), isto tako i rashodi koji su utrošeni za prehranu učenika za mjesec prosinac ( 12.) 2025., a za koje još prihodi nisu došli, kao i</w:t>
      </w:r>
      <w:r>
        <w:t xml:space="preserve"> prihodi za plaće, a koji stižu u 1.mj. 2026. god. Navedeni manjak prihoda u izvještaju od siječnja do prosinca 2025. god. umanjili smo za preneseni višak iz 2024. god., a koji je bio u iznosu od 35.732,30 €, te smo u konačnici dobili manjak prohoda za sli</w:t>
      </w:r>
      <w:r>
        <w:t>jedeće razdoblje u ukupnom iznosu od : 141.742,26 €.</w:t>
      </w:r>
    </w:p>
    <w:p w14:paraId="6CD27514" w14:textId="77777777" w:rsidR="00DE5848" w:rsidRDefault="00DE5848"/>
    <w:p w14:paraId="60E26378" w14:textId="77777777" w:rsidR="00DE5848" w:rsidRDefault="00CA0A5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5848" w14:paraId="2D7756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EDF50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9EF69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23F79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9E4DD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DDF4E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C9830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848" w14:paraId="2D621A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B6C35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E31328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Intelektualne i osobne </w:t>
            </w:r>
            <w:r>
              <w:rPr>
                <w:sz w:val="18"/>
              </w:rPr>
              <w:t>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2C091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826F1D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6.346,00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D8FB8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AF33C7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242,3</w:t>
            </w:r>
          </w:p>
        </w:tc>
      </w:tr>
    </w:tbl>
    <w:p w14:paraId="278D7C59" w14:textId="77777777" w:rsidR="00DE5848" w:rsidRDefault="00DE5848">
      <w:pPr>
        <w:spacing w:after="0"/>
      </w:pPr>
    </w:p>
    <w:p w14:paraId="79E83B32" w14:textId="77777777" w:rsidR="00DE5848" w:rsidRDefault="00CA0A5F">
      <w:r>
        <w:t xml:space="preserve">Na šifri 3237- indeks je malo povećan u odnosu na isto izvještajno razdoblje prethodne godine, a iznosi 242,3 %, na kontu kartice 32379- ostale intelektualne usluge. Knjižen je račun tvrtke </w:t>
      </w:r>
      <w:proofErr w:type="spellStart"/>
      <w:r>
        <w:t>ASKing</w:t>
      </w:r>
      <w:proofErr w:type="spellEnd"/>
      <w:r>
        <w:t xml:space="preserve">, a radi se o izradi </w:t>
      </w:r>
      <w:r>
        <w:t>projektne dokumentacije - izrada glavnog projekta uređenja parka ispred matične škole Velika, geodetske usluge, izrada pripadajućeg troškovnika te vođenja projekta u iznosu od : 3.250,00 €. </w:t>
      </w:r>
    </w:p>
    <w:p w14:paraId="5D33D756" w14:textId="77777777" w:rsidR="00DE5848" w:rsidRDefault="00CA0A5F">
      <w:r>
        <w:t>Na istom kontu ostalih usluga knjižena je i usluga stručnog nadzo</w:t>
      </w:r>
      <w:r>
        <w:t xml:space="preserve">ra građenja i koordinatora zaštite na radu tijekom izvođenja radova na projektu " Obnova i uređenje područne škole </w:t>
      </w:r>
      <w:proofErr w:type="spellStart"/>
      <w:r>
        <w:t>Biškupci</w:t>
      </w:r>
      <w:proofErr w:type="spellEnd"/>
      <w:r>
        <w:t xml:space="preserve"> " u iznosu od ukupno: 9.000,00 €.</w:t>
      </w:r>
    </w:p>
    <w:p w14:paraId="28D8E6EB" w14:textId="77777777" w:rsidR="00DE5848" w:rsidRDefault="00DE5848"/>
    <w:p w14:paraId="241F95B2" w14:textId="77777777" w:rsidR="00DE5848" w:rsidRDefault="00CA0A5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5848" w14:paraId="16E31D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E9CB6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EE429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3BDE7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92BEC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6D0E2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820E8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848" w14:paraId="20ACAE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37510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DEB1AB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2B234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8B60DD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166.351,42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0FCE4F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58.615,04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A863D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35,2</w:t>
            </w:r>
          </w:p>
        </w:tc>
      </w:tr>
    </w:tbl>
    <w:p w14:paraId="1BA869AA" w14:textId="77777777" w:rsidR="00DE5848" w:rsidRDefault="00DE5848">
      <w:pPr>
        <w:spacing w:after="0"/>
      </w:pPr>
    </w:p>
    <w:p w14:paraId="26EA6B7C" w14:textId="77777777" w:rsidR="00DE5848" w:rsidRDefault="00CA0A5F">
      <w:r>
        <w:rPr>
          <w:b/>
        </w:rPr>
        <w:t xml:space="preserve">Rashodi za nabavu nefinancijske imovine </w:t>
      </w:r>
      <w:r>
        <w:t xml:space="preserve">OŠ Ivan Goran Kovačić Velika ostvareni od 01.01. do 31.12.2025. godine - </w:t>
      </w:r>
      <w:proofErr w:type="spellStart"/>
      <w:r>
        <w:t>cto</w:t>
      </w:r>
      <w:proofErr w:type="spellEnd"/>
      <w:r>
        <w:t>. 4 - iznosi</w:t>
      </w:r>
    </w:p>
    <w:p w14:paraId="0A2A4DE4" w14:textId="77777777" w:rsidR="00DE5848" w:rsidRDefault="00CA0A5F">
      <w:r>
        <w:rPr>
          <w:b/>
        </w:rPr>
        <w:t>ukupno: 58.615,04</w:t>
      </w:r>
      <w:r>
        <w:t xml:space="preserve"> €., a čine ih:</w:t>
      </w:r>
    </w:p>
    <w:p w14:paraId="13FACF24" w14:textId="77777777" w:rsidR="00DE5848" w:rsidRDefault="00CA0A5F">
      <w:r>
        <w:rPr>
          <w:i/>
        </w:rPr>
        <w:t xml:space="preserve">rashodi za nabavu proizvedene dugotrajne imovine- </w:t>
      </w:r>
      <w:proofErr w:type="spellStart"/>
      <w:r>
        <w:rPr>
          <w:i/>
        </w:rPr>
        <w:t>cto</w:t>
      </w:r>
      <w:proofErr w:type="spellEnd"/>
      <w:r>
        <w:rPr>
          <w:i/>
        </w:rPr>
        <w:t>. 42 - 49.152,54 €</w:t>
      </w:r>
    </w:p>
    <w:p w14:paraId="17E94B1B" w14:textId="77777777" w:rsidR="00DE5848" w:rsidRDefault="00CA0A5F">
      <w:r>
        <w:rPr>
          <w:i/>
        </w:rPr>
        <w:t xml:space="preserve">rashodi za dodatna ulaganja na nefinancijskoj imovini - </w:t>
      </w:r>
      <w:proofErr w:type="spellStart"/>
      <w:r>
        <w:rPr>
          <w:i/>
        </w:rPr>
        <w:t>cto</w:t>
      </w:r>
      <w:proofErr w:type="spellEnd"/>
      <w:r>
        <w:rPr>
          <w:i/>
        </w:rPr>
        <w:t>. 4</w:t>
      </w:r>
      <w:r>
        <w:rPr>
          <w:i/>
        </w:rPr>
        <w:t>5 - 9.462,50 €  </w:t>
      </w:r>
    </w:p>
    <w:p w14:paraId="6BF31908" w14:textId="77777777" w:rsidR="00DE5848" w:rsidRDefault="00CA0A5F">
      <w:r>
        <w:rPr>
          <w:b/>
        </w:rPr>
        <w:t>UKUPNO:   58.615,04 € </w:t>
      </w:r>
    </w:p>
    <w:p w14:paraId="68143A05" w14:textId="77777777" w:rsidR="00DE5848" w:rsidRDefault="00CA0A5F">
      <w:r>
        <w:t>U odnosu na isto  izvještajno razdoblje prethodne godine indeks na šifri 42- rashodi za nabavu proizvedene dugotrajne imovine- iznosi 29,5%, što ukazuje da smo sredstva trošili u punom manje nego prethodne godine, al</w:t>
      </w:r>
      <w:r>
        <w:t>i su se  trošila prema potrebama škole na nabavku: računala, namještaja, opreme i knjiga.</w:t>
      </w:r>
    </w:p>
    <w:p w14:paraId="6B02C43B" w14:textId="77777777" w:rsidR="00DE5848" w:rsidRDefault="00CA0A5F">
      <w:r>
        <w:t xml:space="preserve">U periodu od siječnja do prosinca 2025. god. na </w:t>
      </w:r>
      <w:proofErr w:type="spellStart"/>
      <w:r>
        <w:t>cto</w:t>
      </w:r>
      <w:proofErr w:type="spellEnd"/>
      <w:r>
        <w:t xml:space="preserve">. 45- rashodi za dodatna ulaganja na nefinancijskoj imovini- knjižen je račun tvrtke </w:t>
      </w:r>
      <w:proofErr w:type="spellStart"/>
      <w:r>
        <w:t>Adžaga</w:t>
      </w:r>
      <w:proofErr w:type="spellEnd"/>
      <w:r>
        <w:t xml:space="preserve"> gradnja </w:t>
      </w:r>
      <w:proofErr w:type="spellStart"/>
      <w:r>
        <w:t>j.d.o.o</w:t>
      </w:r>
      <w:proofErr w:type="spellEnd"/>
      <w:r>
        <w:t>.- građe</w:t>
      </w:r>
      <w:r>
        <w:t>vinski radovi na uređenju parka MŠ Velika a za koje nam je sredstva doznačila Općina Velika.</w:t>
      </w:r>
    </w:p>
    <w:p w14:paraId="642EF348" w14:textId="77777777" w:rsidR="00DE5848" w:rsidRDefault="00DE5848"/>
    <w:p w14:paraId="78380810" w14:textId="77777777" w:rsidR="00DE5848" w:rsidRDefault="00CA0A5F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89A5822" w14:textId="77777777" w:rsidR="00DE5848" w:rsidRDefault="00CA0A5F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5848" w14:paraId="681575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3CFD0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85900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B00FB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18EED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500AD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7B9F3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848" w14:paraId="19329F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D2BA7" w14:textId="77777777" w:rsidR="00DE5848" w:rsidRDefault="00DE58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905A92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EF4FA8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CFB7DA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2.346.292,71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CCD52D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2.261.292,43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AF4EB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96,4</w:t>
            </w:r>
          </w:p>
        </w:tc>
      </w:tr>
    </w:tbl>
    <w:p w14:paraId="461D0FCB" w14:textId="77777777" w:rsidR="00DE5848" w:rsidRDefault="00DE5848">
      <w:pPr>
        <w:spacing w:after="0"/>
      </w:pPr>
    </w:p>
    <w:p w14:paraId="63F3BDFA" w14:textId="77777777" w:rsidR="00DE5848" w:rsidRDefault="00CA0A5F">
      <w:r>
        <w:t xml:space="preserve">Obrazac Bilanca sadrži podatke o </w:t>
      </w:r>
      <w:proofErr w:type="spellStart"/>
      <w:r>
        <w:t>izvanbilančnim</w:t>
      </w:r>
      <w:proofErr w:type="spellEnd"/>
      <w:r>
        <w:t xml:space="preserve"> zapisima, te obvezne analitičke podatke o stanju dospjelih i nedospjelih potraživanja i obveza prikazanih po strukturi. Sastavljena je u skladu s važećim računovodstvenim propisima.</w:t>
      </w:r>
    </w:p>
    <w:p w14:paraId="18CC1ADB" w14:textId="77777777" w:rsidR="00DE5848" w:rsidRDefault="00DE5848"/>
    <w:p w14:paraId="692F00C6" w14:textId="77777777" w:rsidR="00DE5848" w:rsidRDefault="00CA0A5F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5848" w14:paraId="0C7C16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D9521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EEDBB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2D123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DFA05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D3E2D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70C35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848" w14:paraId="47A782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951FA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4A8CE2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B8243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90F4BE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2.069.758,92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0A03E6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2.046.619,68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447774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98,9</w:t>
            </w:r>
          </w:p>
        </w:tc>
      </w:tr>
    </w:tbl>
    <w:p w14:paraId="00413947" w14:textId="77777777" w:rsidR="00DE5848" w:rsidRDefault="00DE5848">
      <w:pPr>
        <w:spacing w:after="0"/>
      </w:pPr>
    </w:p>
    <w:p w14:paraId="613F0633" w14:textId="77777777" w:rsidR="00DE5848" w:rsidRDefault="00CA0A5F">
      <w:r>
        <w:lastRenderedPageBreak/>
        <w:t>na šifri B002- nefinancijska imovina- indeks je 98,9%</w:t>
      </w:r>
    </w:p>
    <w:p w14:paraId="49DDAF37" w14:textId="77777777" w:rsidR="00DE5848" w:rsidRDefault="00CA0A5F">
      <w:r>
        <w:t>Sva kupljena oprema propisana i proknjižena na odgovarajuća konta, a vrijednost imovine na dan 31.12.2025. godine iznosi : 2.046.619,68 €.</w:t>
      </w:r>
    </w:p>
    <w:p w14:paraId="5897AD4A" w14:textId="77777777" w:rsidR="00DE5848" w:rsidRDefault="00CA0A5F">
      <w:r>
        <w:t> </w:t>
      </w:r>
    </w:p>
    <w:p w14:paraId="4DDFE7B1" w14:textId="77777777" w:rsidR="00DE5848" w:rsidRDefault="00DE5848"/>
    <w:p w14:paraId="21C85C27" w14:textId="77777777" w:rsidR="00DE5848" w:rsidRDefault="00CA0A5F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5848" w14:paraId="5374DF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3F865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D0552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1F156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41BDB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D4919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A01D4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848" w14:paraId="6EEA77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BEA278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6BB19B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9633E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B13CDC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276.533,79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7876A6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214.672,75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6C9705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77,6</w:t>
            </w:r>
          </w:p>
        </w:tc>
      </w:tr>
    </w:tbl>
    <w:p w14:paraId="33E61E91" w14:textId="77777777" w:rsidR="00DE5848" w:rsidRDefault="00DE5848">
      <w:pPr>
        <w:spacing w:after="0"/>
      </w:pPr>
    </w:p>
    <w:p w14:paraId="1E2F696F" w14:textId="77777777" w:rsidR="00DE5848" w:rsidRDefault="00CA0A5F">
      <w:r>
        <w:t>Šifra 1- Financijska imovina- indeks je 77,6 ˘%.</w:t>
      </w:r>
    </w:p>
    <w:p w14:paraId="1BEC891D" w14:textId="77777777" w:rsidR="00DE5848" w:rsidRDefault="00CA0A5F">
      <w:r>
        <w:t xml:space="preserve">Financijska imovina sastoji se od potraživanja za bolovanja od </w:t>
      </w:r>
      <w:proofErr w:type="spellStart"/>
      <w:r>
        <w:t>HZZoa</w:t>
      </w:r>
      <w:proofErr w:type="spellEnd"/>
      <w:r>
        <w:t>, potraživanja za pomoći iz državnog proračuna temeljem prijenosa EU sredstava, te nedospjela naplata prihoda za plaću za prosinac 2025. godine.</w:t>
      </w:r>
    </w:p>
    <w:p w14:paraId="5C54E371" w14:textId="77777777" w:rsidR="00DE5848" w:rsidRDefault="00DE5848"/>
    <w:p w14:paraId="3FA651F3" w14:textId="77777777" w:rsidR="00DE5848" w:rsidRDefault="00CA0A5F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5848" w14:paraId="0358E1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2A055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DBA89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A1BEB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DF3D8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06768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BD4A1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848" w14:paraId="01B0EA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A7F77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58A87B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475FD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6F35C4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35.732,30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6E654A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-141.742,26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08D7E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-396,7</w:t>
            </w:r>
          </w:p>
        </w:tc>
      </w:tr>
    </w:tbl>
    <w:p w14:paraId="7B2C6DA5" w14:textId="77777777" w:rsidR="00DE5848" w:rsidRDefault="00DE5848">
      <w:pPr>
        <w:spacing w:after="0"/>
      </w:pPr>
    </w:p>
    <w:p w14:paraId="72775577" w14:textId="77777777" w:rsidR="00DE5848" w:rsidRDefault="00CA0A5F">
      <w:r>
        <w:t>Utvrđeni rezultat poslovanja ( višak prihoda poslovanja: 121.735,70 €- šifra 92211 ) i rezultat od transakcija na nefinancijskoj imovini ( manjak prihoda od nefinancijske imovine : 263.477,96 € ) na dan 31.12.2025. godine korigirani su za iznose kapitalnih</w:t>
      </w:r>
      <w:r>
        <w:t xml:space="preserve"> prijenosa ostvarenih tijekom proračunske godine utrošeni za nabavu nefinancijske imovine- u vrijednosti ukupno: 46.013,43 €.</w:t>
      </w:r>
    </w:p>
    <w:p w14:paraId="6716B72E" w14:textId="77777777" w:rsidR="00DE5848" w:rsidRDefault="00CA0A5F">
      <w:r>
        <w:t xml:space="preserve">Kapitalni prijenosi bili su iz Državnog proračuna- sredstva za </w:t>
      </w:r>
      <w:proofErr w:type="spellStart"/>
      <w:r>
        <w:t>lektirnu</w:t>
      </w:r>
      <w:proofErr w:type="spellEnd"/>
      <w:r>
        <w:t xml:space="preserve"> građu i udžbenike, za B1 CDŠ, </w:t>
      </w:r>
      <w:proofErr w:type="spellStart"/>
      <w:r>
        <w:t>cdš</w:t>
      </w:r>
      <w:proofErr w:type="spellEnd"/>
      <w:r>
        <w:t xml:space="preserve"> opremu i udžbenike </w:t>
      </w:r>
      <w:proofErr w:type="spellStart"/>
      <w:r>
        <w:t>cdš</w:t>
      </w:r>
      <w:proofErr w:type="spellEnd"/>
      <w:r>
        <w:t xml:space="preserve">. </w:t>
      </w:r>
      <w:r>
        <w:t>Također i iz Općinskog proračuna i doznaka sredstava Hrabrog telefona za projekt " Škole hrabrosti.</w:t>
      </w:r>
    </w:p>
    <w:p w14:paraId="6D7E50C6" w14:textId="77777777" w:rsidR="00DE5848" w:rsidRDefault="00CA0A5F">
      <w:r>
        <w:t> </w:t>
      </w:r>
    </w:p>
    <w:p w14:paraId="21EDBFCE" w14:textId="77777777" w:rsidR="00DE5848" w:rsidRDefault="00DE5848"/>
    <w:p w14:paraId="38E40FB0" w14:textId="77777777" w:rsidR="00DE5848" w:rsidRDefault="00CA0A5F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5848" w14:paraId="0AE4C1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AA237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DD234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5CD8A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AE6E6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8CF23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F336D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848" w14:paraId="5AAA5E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F8494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BDC414" w14:textId="77777777" w:rsidR="00DE5848" w:rsidRDefault="00CA0A5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83ACF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9507AC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6.944,61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53F740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11.783,36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11AB5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169,7</w:t>
            </w:r>
          </w:p>
        </w:tc>
      </w:tr>
    </w:tbl>
    <w:p w14:paraId="54E62F4C" w14:textId="77777777" w:rsidR="00DE5848" w:rsidRDefault="00DE5848">
      <w:pPr>
        <w:spacing w:after="0"/>
      </w:pPr>
    </w:p>
    <w:p w14:paraId="1DB16103" w14:textId="77777777" w:rsidR="00DE5848" w:rsidRDefault="00CA0A5F">
      <w:r>
        <w:lastRenderedPageBreak/>
        <w:t>Dana 08.01.2025. god. OŠ Ivan Goran Kovačić Velika sklopila je Ugovor sa tvrtkom BIZ UP TEAM D.O.O.- ugovor o uslugama iznajmljivanja i održavanja MF uređaja. Trajanje ovog Ugovora je na 60 mjeseci ( 5 god.) u iznosu od 98,75 € mjesečno. Za navedeno se vod</w:t>
      </w:r>
      <w:r>
        <w:t xml:space="preserve">i </w:t>
      </w:r>
      <w:proofErr w:type="spellStart"/>
      <w:r>
        <w:t>izvanbilančna</w:t>
      </w:r>
      <w:proofErr w:type="spellEnd"/>
      <w:r>
        <w:t xml:space="preserve"> evidencija, evidentiraju se u visini ukupne vrijednosti potpisanog Ugovora. </w:t>
      </w:r>
      <w:proofErr w:type="spellStart"/>
      <w:r>
        <w:t>Izvanbilančna</w:t>
      </w:r>
      <w:proofErr w:type="spellEnd"/>
      <w:r>
        <w:t xml:space="preserve"> evidencija zatvara se po zaprimljenim računima za najam pisača, u visini iznosa računa. Evidentiranja se vrše preko konta 99152/99652, a usluga za naj</w:t>
      </w:r>
      <w:r>
        <w:t xml:space="preserve">am pisača evidentira se i knjiži na </w:t>
      </w:r>
      <w:proofErr w:type="spellStart"/>
      <w:r>
        <w:t>cto.rashoda</w:t>
      </w:r>
      <w:proofErr w:type="spellEnd"/>
      <w:r>
        <w:t xml:space="preserve"> 32353- zakupnine i najamnine za opremu.</w:t>
      </w:r>
    </w:p>
    <w:p w14:paraId="38E360DE" w14:textId="77777777" w:rsidR="00DE5848" w:rsidRDefault="00DE5848"/>
    <w:p w14:paraId="06080802" w14:textId="77777777" w:rsidR="00DE5848" w:rsidRDefault="00CA0A5F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7D27E2A7" w14:textId="77777777" w:rsidR="00DE5848" w:rsidRDefault="00CA0A5F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5848" w14:paraId="344930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F2E21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9A5CA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A35AF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A6BCA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60FD5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A2423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848" w14:paraId="5E0ECD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D2E24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401E5B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D94587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4D15EC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2.632.564,53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4EDC51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2.305.959,09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670A9B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87,6</w:t>
            </w:r>
          </w:p>
        </w:tc>
      </w:tr>
    </w:tbl>
    <w:p w14:paraId="78FAF8AE" w14:textId="77777777" w:rsidR="00DE5848" w:rsidRDefault="00DE5848">
      <w:pPr>
        <w:spacing w:after="0"/>
      </w:pPr>
    </w:p>
    <w:p w14:paraId="4F233408" w14:textId="77777777" w:rsidR="00DE5848" w:rsidRDefault="00CA0A5F">
      <w:r>
        <w:t>Rashodi škole klasificiraju se pod funkciju 09 Obrazovanje u ukupnom iznosu u 2025. godini od :  2.305.959,09 €.</w:t>
      </w:r>
    </w:p>
    <w:p w14:paraId="148FE476" w14:textId="77777777" w:rsidR="00DE5848" w:rsidRDefault="00CA0A5F">
      <w:r>
        <w:t>Svi izdaci se kreću u okviru planiranih izdataka. Na šifri 0912 iskazani su ukupni rashodi- osnovno obrazovanje- u iznosu od: 2.218.216,41 €.</w:t>
      </w:r>
    </w:p>
    <w:p w14:paraId="6F3C3644" w14:textId="77777777" w:rsidR="00DE5848" w:rsidRDefault="00CA0A5F">
      <w:r>
        <w:t>N</w:t>
      </w:r>
      <w:r>
        <w:t>a šifri 096- dodatne usluge u obrazovanju- iskazani su ukupni rashodi namirnica ( za prehranu učenika ) u ukupnom iznosu od: 87.742,68 €.</w:t>
      </w:r>
    </w:p>
    <w:p w14:paraId="73FABFC4" w14:textId="77777777" w:rsidR="00DE5848" w:rsidRDefault="00DE5848"/>
    <w:p w14:paraId="759BC626" w14:textId="77777777" w:rsidR="00DE5848" w:rsidRDefault="00CA0A5F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740D9B0F" w14:textId="77777777" w:rsidR="00DE5848" w:rsidRDefault="00CA0A5F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5848" w14:paraId="37F4A3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28702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23B9C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58804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FF212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68210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8A4BC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848" w14:paraId="48706D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2F2DE" w14:textId="77777777" w:rsidR="00DE5848" w:rsidRDefault="00DE58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CC0C3C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FE2E9E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4F2E8C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B9B82E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72.291,78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DB985A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C30C7F6" w14:textId="77777777" w:rsidR="00DE5848" w:rsidRDefault="00DE5848">
      <w:pPr>
        <w:spacing w:after="0"/>
      </w:pPr>
    </w:p>
    <w:p w14:paraId="1673D939" w14:textId="77777777" w:rsidR="00DE5848" w:rsidRDefault="00CA0A5F">
      <w:r>
        <w:t>Obrazac P-VRIO obvezni je dio godišnjeg financijskog izvještaja. Obveznici popunjavanja obrasca P-VRIO su svi obveznici proračunskog računovodstva.  U obrascu P-VRIO  iskazano je smanjenje obujma imovine (  proizvedena dugotrajna imovina- šifra P003 ) u uk</w:t>
      </w:r>
      <w:r>
        <w:t>upnom iznosu od:  72.291,78 €- u 2025. god. po novom Pravilniku- ispravak vrijednosti dugotrajne nefinancijske imovine provodi se preko promjena u vrijednosti imovine, odnosno preko osnovnog računa 91511, kako je i propisano čl.121. novog Pravilnika.</w:t>
      </w:r>
    </w:p>
    <w:p w14:paraId="756123AA" w14:textId="77777777" w:rsidR="00DE5848" w:rsidRDefault="00DE5848"/>
    <w:p w14:paraId="2AA2274C" w14:textId="77777777" w:rsidR="00DE5848" w:rsidRDefault="00CA0A5F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</w:t>
      </w:r>
      <w:r>
        <w:rPr>
          <w:b/>
          <w:sz w:val="28"/>
        </w:rPr>
        <w:t>eštaj o obvezama</w:t>
      </w:r>
    </w:p>
    <w:p w14:paraId="29CA4FE0" w14:textId="77777777" w:rsidR="00DE5848" w:rsidRDefault="00CA0A5F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E5848" w14:paraId="6A9D78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6FFDE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2CA07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D5B58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5E88E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76229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848" w14:paraId="7A73F0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0AD10" w14:textId="77777777" w:rsidR="00DE5848" w:rsidRDefault="00DE58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6C0F11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8AA0E5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4B40FE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150.620,06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914E8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CE9F796" w14:textId="77777777" w:rsidR="00DE5848" w:rsidRDefault="00DE5848">
      <w:pPr>
        <w:spacing w:after="0"/>
      </w:pPr>
    </w:p>
    <w:p w14:paraId="46CC0CEF" w14:textId="77777777" w:rsidR="00DE5848" w:rsidRDefault="00CA0A5F">
      <w:r>
        <w:t>Stanje obveza na kraju obračunskog razdoblja iznosi: 150.620,06 €. To se vidi na šifri V006- obrazac Obveze. </w:t>
      </w:r>
    </w:p>
    <w:p w14:paraId="1D1905B1" w14:textId="77777777" w:rsidR="00DE5848" w:rsidRDefault="00CA0A5F">
      <w:r>
        <w:t>Navedeni iznos odnosi se na nedospjele obveze za rashode poslovanja:</w:t>
      </w:r>
    </w:p>
    <w:p w14:paraId="63FC1B1C" w14:textId="77777777" w:rsidR="00DE5848" w:rsidRDefault="00CA0A5F">
      <w:r>
        <w:t xml:space="preserve">obveze za zaposlene - </w:t>
      </w:r>
      <w:proofErr w:type="spellStart"/>
      <w:r>
        <w:t>cto</w:t>
      </w:r>
      <w:proofErr w:type="spellEnd"/>
      <w:r>
        <w:t xml:space="preserve"> 231 - 139.681,81 €</w:t>
      </w:r>
    </w:p>
    <w:p w14:paraId="59A8E9C5" w14:textId="77777777" w:rsidR="00DE5848" w:rsidRDefault="00CA0A5F">
      <w:r>
        <w:t xml:space="preserve">obveze za materijalne rashode- </w:t>
      </w:r>
      <w:proofErr w:type="spellStart"/>
      <w:r>
        <w:t>c</w:t>
      </w:r>
      <w:r>
        <w:t>to</w:t>
      </w:r>
      <w:proofErr w:type="spellEnd"/>
      <w:r>
        <w:t>. 232 - 9.731,42 €</w:t>
      </w:r>
    </w:p>
    <w:p w14:paraId="401D1A49" w14:textId="77777777" w:rsidR="00DE5848" w:rsidRDefault="00CA0A5F">
      <w:r>
        <w:t xml:space="preserve">obveze </w:t>
      </w:r>
      <w:proofErr w:type="spellStart"/>
      <w:r>
        <w:t>pror.koris,za</w:t>
      </w:r>
      <w:proofErr w:type="spellEnd"/>
      <w:r>
        <w:t xml:space="preserve"> povrat u proračun- </w:t>
      </w:r>
      <w:proofErr w:type="spellStart"/>
      <w:r>
        <w:t>cto</w:t>
      </w:r>
      <w:proofErr w:type="spellEnd"/>
      <w:r>
        <w:t>. 276- 1.206,83 €</w:t>
      </w:r>
    </w:p>
    <w:p w14:paraId="378635B1" w14:textId="77777777" w:rsidR="00DE5848" w:rsidRDefault="00CA0A5F">
      <w:r>
        <w:t xml:space="preserve">Na bruto bilanci OŠ Ivan Goran Kovačić Velika, na kontu 2- obveze- sveukupan iznos obveza na cto.2 je u iznosu od: 204.428,28 €. Razlika između stanja cto.2 na bruto bilanci </w:t>
      </w:r>
      <w:r>
        <w:t>i na obrascu Obveza je: 53. 808,22 €, a navedeni iznos odnosi se na odgođeno priznavanje prihoda  po primljenom pozivu na plaćanje po garanciji- energetska obnova. </w:t>
      </w:r>
    </w:p>
    <w:p w14:paraId="32C6929B" w14:textId="4C4E585C" w:rsidR="00DE5848" w:rsidRDefault="00CA0A5F">
      <w:r>
        <w:t>Navedena obveza koja je evidentirana u bruto bilanci škole na kontu 29221 ne unosi se u obr</w:t>
      </w:r>
      <w:r>
        <w:t>azac Obveza, ali je na bilanci evidentirana, te  time na šifri V006 kao takva zadovoljava kontrole obrasca.</w:t>
      </w:r>
    </w:p>
    <w:p w14:paraId="74A09843" w14:textId="77777777" w:rsidR="00136F20" w:rsidRDefault="00136F20"/>
    <w:p w14:paraId="06F30CD8" w14:textId="77777777" w:rsidR="00DE5848" w:rsidRDefault="00DE5848"/>
    <w:p w14:paraId="3540675A" w14:textId="77777777" w:rsidR="00DE5848" w:rsidRDefault="00CA0A5F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E5848" w14:paraId="1E7B53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9B9F8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02382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EDF7D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07DCD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6EE93" w14:textId="77777777" w:rsidR="00DE5848" w:rsidRDefault="00CA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848" w14:paraId="05C606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79D45" w14:textId="77777777" w:rsidR="00DE5848" w:rsidRDefault="00DE58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6961B1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5A66D" w14:textId="77777777" w:rsidR="00DE5848" w:rsidRDefault="00CA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5EAFB7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7CCBB" w14:textId="77777777" w:rsidR="00DE5848" w:rsidRDefault="00CA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8E83AA1" w14:textId="77777777" w:rsidR="00DE5848" w:rsidRDefault="00DE5848">
      <w:pPr>
        <w:spacing w:after="0"/>
      </w:pPr>
    </w:p>
    <w:p w14:paraId="658B6000" w14:textId="77777777" w:rsidR="00136F20" w:rsidRDefault="00136F20"/>
    <w:p w14:paraId="201DE824" w14:textId="4FFE302F" w:rsidR="00DE5848" w:rsidRDefault="00CA0A5F">
      <w:r>
        <w:t>Na kraju izvještajnog razdoblja od 01.01. do 31.12.2025. godine nismo imali dospjelih obveza, te je i iznos u izvještaju o Obvezama iskazan na šifri V007 jednak nuli.</w:t>
      </w:r>
    </w:p>
    <w:p w14:paraId="3FCC5687" w14:textId="1D204F96" w:rsidR="00136F20" w:rsidRDefault="00136F20"/>
    <w:p w14:paraId="7B99FF76" w14:textId="5DEA4721" w:rsidR="00136F20" w:rsidRDefault="00136F20"/>
    <w:p w14:paraId="7FB7A12A" w14:textId="42AEC2D7" w:rsidR="00136F20" w:rsidRDefault="00136F20"/>
    <w:p w14:paraId="4575923D" w14:textId="4A7809B9" w:rsidR="00136F20" w:rsidRDefault="00136F20"/>
    <w:p w14:paraId="7A19D6B2" w14:textId="77777777" w:rsidR="00136F20" w:rsidRDefault="00136F20"/>
    <w:p w14:paraId="365F62A7" w14:textId="77777777" w:rsidR="00DE5848" w:rsidRDefault="00DE5848"/>
    <w:p w14:paraId="045875A4" w14:textId="13EB73AA" w:rsidR="00DE5848" w:rsidRDefault="00CA0A5F">
      <w:pPr>
        <w:keepNext/>
        <w:spacing w:line="240" w:lineRule="auto"/>
        <w:jc w:val="center"/>
        <w:rPr>
          <w:sz w:val="28"/>
        </w:rPr>
      </w:pPr>
      <w:r>
        <w:rPr>
          <w:sz w:val="28"/>
        </w:rPr>
        <w:lastRenderedPageBreak/>
        <w:t>Bilješka 18.</w:t>
      </w:r>
    </w:p>
    <w:p w14:paraId="4AC10CBD" w14:textId="77777777" w:rsidR="00136F20" w:rsidRDefault="00136F20">
      <w:pPr>
        <w:keepNext/>
        <w:spacing w:line="240" w:lineRule="auto"/>
        <w:jc w:val="center"/>
      </w:pPr>
    </w:p>
    <w:p w14:paraId="50A5C74E" w14:textId="21AB5FAE" w:rsidR="00DE5848" w:rsidRDefault="00CA0A5F" w:rsidP="00136F20">
      <w:pPr>
        <w:spacing w:line="240" w:lineRule="auto"/>
        <w:jc w:val="center"/>
        <w:rPr>
          <w:b/>
        </w:rPr>
      </w:pPr>
      <w:r>
        <w:rPr>
          <w:b/>
        </w:rPr>
        <w:t xml:space="preserve">EU </w:t>
      </w:r>
      <w:r w:rsidR="00136F20">
        <w:rPr>
          <w:b/>
        </w:rPr>
        <w:t xml:space="preserve"> IZVJEŠTAJ</w:t>
      </w:r>
    </w:p>
    <w:p w14:paraId="46826C87" w14:textId="77777777" w:rsidR="00CA0A5F" w:rsidRDefault="00CA0A5F" w:rsidP="00136F20">
      <w:pPr>
        <w:spacing w:line="240" w:lineRule="auto"/>
        <w:jc w:val="center"/>
      </w:pPr>
    </w:p>
    <w:p w14:paraId="02DBD40E" w14:textId="77777777" w:rsidR="00DE5848" w:rsidRDefault="00CA0A5F">
      <w:r>
        <w:rPr>
          <w:b/>
        </w:rPr>
        <w:t>EU izvještaj je od 2025. god.</w:t>
      </w:r>
      <w:r>
        <w:t xml:space="preserve"> novi financijski izvještaj o EU </w:t>
      </w:r>
      <w:r>
        <w:t>sredstvima kojeg u sklopu financijskog izvještavanja u proračunskom računovodstvu uvodi Pravilnik o izmjenama i dopunama Pravilnika o financijskom izvještavanju u proračunskom računovodstvu, predstavlja analitički financijski izvještaj koji će se podnositi</w:t>
      </w:r>
      <w:r>
        <w:t xml:space="preserve"> za programsko razdoblje od 2021. do 2027. god., počevši od financijskog izvještavanja za razdoblje od 01.01. do 31.12.2025. godine. Svrha uvođenja EU izvještaja je praćenje EU tijekova i izvora financiranja za EU sredstva za sve subjekte unutar općeg pror</w:t>
      </w:r>
      <w:r>
        <w:t>ačuna.</w:t>
      </w:r>
    </w:p>
    <w:p w14:paraId="4662D2F6" w14:textId="77777777" w:rsidR="00DE5848" w:rsidRDefault="00CA0A5F">
      <w:r>
        <w:t>U 2025. godini u EU izvještaj OŠ Ivan Goran Kovačić Velika provodila je projekt  " Obrazujmo se zajedno VIII " a koji je financiran  sredstvima Europskog socijalnog fonda plus ( 85 % ) i Nacionalno sufinanciranje ( 15 % ). </w:t>
      </w:r>
    </w:p>
    <w:p w14:paraId="5843F1D9" w14:textId="77777777" w:rsidR="00DE5848" w:rsidRDefault="00CA0A5F">
      <w:r>
        <w:t>Prihodi i rashodi projekt</w:t>
      </w:r>
      <w:r>
        <w:t>a " Obrazujmo se zajedno VIII " od 01.01. do 31.12. 2025. evidentirani su i knjiženi  sukladno važećim propisima i iskazani su u obrascu EU Izvještaji po navedenim izvorima financiranja.</w:t>
      </w:r>
    </w:p>
    <w:p w14:paraId="41A1F171" w14:textId="77777777" w:rsidR="00DE5848" w:rsidRDefault="00CA0A5F">
      <w:r>
        <w:t>Prema uputama i evidencijama koje nam je poslao Osnivač, i prema naši</w:t>
      </w:r>
      <w:r>
        <w:t xml:space="preserve">m računovodstvenim evidencijama utvrdili smo da je </w:t>
      </w:r>
      <w:r>
        <w:rPr>
          <w:b/>
          <w:i/>
        </w:rPr>
        <w:t xml:space="preserve">ukupan prihod na </w:t>
      </w:r>
      <w:proofErr w:type="spellStart"/>
      <w:r>
        <w:rPr>
          <w:b/>
          <w:i/>
        </w:rPr>
        <w:t>cto</w:t>
      </w:r>
      <w:proofErr w:type="spellEnd"/>
      <w:r>
        <w:rPr>
          <w:b/>
          <w:i/>
        </w:rPr>
        <w:t>. 63931001- dio koji se odnosi na PUN VIII iznosi : 27.431,45 €.</w:t>
      </w:r>
    </w:p>
    <w:p w14:paraId="7CB84D32" w14:textId="77777777" w:rsidR="00DE5848" w:rsidRDefault="00CA0A5F">
      <w:r>
        <w:rPr>
          <w:i/>
        </w:rPr>
        <w:t>iz izvora 561- Europski socijalni fond plus - 23.316,73 €</w:t>
      </w:r>
    </w:p>
    <w:p w14:paraId="45766C80" w14:textId="06620403" w:rsidR="00DE5848" w:rsidRDefault="00CA0A5F">
      <w:r>
        <w:rPr>
          <w:i/>
        </w:rPr>
        <w:t>iz izvora - Nacionalno sufinanciran</w:t>
      </w:r>
      <w:r w:rsidR="00E52132">
        <w:rPr>
          <w:i/>
        </w:rPr>
        <w:t>i</w:t>
      </w:r>
      <w:r>
        <w:rPr>
          <w:i/>
        </w:rPr>
        <w:t xml:space="preserve"> - 4.114,72 €</w:t>
      </w:r>
    </w:p>
    <w:p w14:paraId="6B2D55B8" w14:textId="77777777" w:rsidR="00DE5848" w:rsidRDefault="00CA0A5F">
      <w:r>
        <w:rPr>
          <w:b/>
          <w:i/>
        </w:rPr>
        <w:t>Ukupni rashodi za projekt "Obrazujmo se zajedno VIII "</w:t>
      </w:r>
      <w:r>
        <w:t xml:space="preserve"> ( rashodi za plaće- </w:t>
      </w:r>
      <w:proofErr w:type="spellStart"/>
      <w:r>
        <w:t>cto</w:t>
      </w:r>
      <w:proofErr w:type="spellEnd"/>
      <w:r>
        <w:t xml:space="preserve">. 31111 i rashod za doprinosi za obvezno zdravstveno osiguranje- </w:t>
      </w:r>
      <w:proofErr w:type="spellStart"/>
      <w:r>
        <w:t>cto</w:t>
      </w:r>
      <w:proofErr w:type="spellEnd"/>
      <w:r>
        <w:t xml:space="preserve">. 31321 ) </w:t>
      </w:r>
      <w:r>
        <w:rPr>
          <w:b/>
          <w:i/>
        </w:rPr>
        <w:t>iznose: 26.562,94 €</w:t>
      </w:r>
      <w:r>
        <w:t>.</w:t>
      </w:r>
    </w:p>
    <w:p w14:paraId="453E7146" w14:textId="77777777" w:rsidR="00DE5848" w:rsidRDefault="00CA0A5F">
      <w:r>
        <w:rPr>
          <w:i/>
        </w:rPr>
        <w:t>iz izvora 561- Europski socijalni fond plus - 22.578,50 €</w:t>
      </w:r>
    </w:p>
    <w:p w14:paraId="078C66F8" w14:textId="2EEED38A" w:rsidR="00DE5848" w:rsidRDefault="00CA0A5F">
      <w:pPr>
        <w:rPr>
          <w:i/>
        </w:rPr>
      </w:pPr>
      <w:r>
        <w:rPr>
          <w:i/>
        </w:rPr>
        <w:t>iz izvora - Nacionalno sufinanciranje- 3.984,44 € </w:t>
      </w:r>
    </w:p>
    <w:p w14:paraId="1B36326C" w14:textId="0939122F" w:rsidR="00136F20" w:rsidRDefault="00136F20">
      <w:pPr>
        <w:rPr>
          <w:i/>
        </w:rPr>
      </w:pPr>
    </w:p>
    <w:p w14:paraId="6D7B4A59" w14:textId="44DEEA69" w:rsidR="00136F20" w:rsidRDefault="00136F20">
      <w:pPr>
        <w:rPr>
          <w:i/>
        </w:rPr>
      </w:pPr>
      <w:r>
        <w:rPr>
          <w:i/>
        </w:rPr>
        <w:t>Velika, 30.01.2026. god.</w:t>
      </w:r>
    </w:p>
    <w:p w14:paraId="36D3A552" w14:textId="707A1932" w:rsidR="00136F20" w:rsidRDefault="00136F20">
      <w:pPr>
        <w:rPr>
          <w:i/>
        </w:rPr>
      </w:pPr>
    </w:p>
    <w:p w14:paraId="17258E46" w14:textId="16CFD7B1" w:rsidR="00136F20" w:rsidRDefault="00136F20">
      <w:pPr>
        <w:rPr>
          <w:i/>
        </w:rPr>
      </w:pPr>
    </w:p>
    <w:p w14:paraId="3E9266FC" w14:textId="1E5F2F55" w:rsidR="00136F20" w:rsidRPr="00136F20" w:rsidRDefault="00136F20">
      <w:pPr>
        <w:rPr>
          <w:i/>
        </w:rPr>
      </w:pPr>
      <w:r w:rsidRPr="00136F20">
        <w:rPr>
          <w:i/>
        </w:rPr>
        <w:t>Voditeljica računovodstva:                                                               Ravnateljica škole:</w:t>
      </w:r>
    </w:p>
    <w:p w14:paraId="44A7896D" w14:textId="3386A68F" w:rsidR="00136F20" w:rsidRPr="00136F20" w:rsidRDefault="00136F20">
      <w:pPr>
        <w:rPr>
          <w:i/>
        </w:rPr>
      </w:pPr>
      <w:r w:rsidRPr="00136F20">
        <w:rPr>
          <w:i/>
        </w:rPr>
        <w:t>_____________________                                                                ________________</w:t>
      </w:r>
    </w:p>
    <w:p w14:paraId="4FB0969D" w14:textId="667D2DAD" w:rsidR="00136F20" w:rsidRPr="00136F20" w:rsidRDefault="00136F20">
      <w:r w:rsidRPr="00136F20">
        <w:rPr>
          <w:i/>
        </w:rPr>
        <w:t xml:space="preserve">       Martina Rih                                                                                    Marija Garić</w:t>
      </w:r>
    </w:p>
    <w:p w14:paraId="3056F815" w14:textId="77777777" w:rsidR="00DE5848" w:rsidRDefault="00CA0A5F">
      <w:r>
        <w:t> </w:t>
      </w:r>
    </w:p>
    <w:p w14:paraId="13781C1E" w14:textId="77777777" w:rsidR="00DE5848" w:rsidRDefault="00DE5848"/>
    <w:sectPr w:rsidR="00DE5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48"/>
    <w:rsid w:val="00136F20"/>
    <w:rsid w:val="00CA0A5F"/>
    <w:rsid w:val="00DE5848"/>
    <w:rsid w:val="00E5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3750"/>
  <w15:docId w15:val="{DE906290-6ACF-4019-A65C-2A473D11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2496</Words>
  <Characters>14230</Characters>
  <Application>Microsoft Office Word</Application>
  <DocSecurity>0</DocSecurity>
  <Lines>118</Lines>
  <Paragraphs>33</Paragraphs>
  <ScaleCrop>false</ScaleCrop>
  <Company/>
  <LinksUpToDate>false</LinksUpToDate>
  <CharactersWithSpaces>16693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Martina Rih</cp:lastModifiedBy>
  <cp:revision>4</cp:revision>
  <dcterms:created xsi:type="dcterms:W3CDTF">2026-01-30T08:19:00Z</dcterms:created>
  <dcterms:modified xsi:type="dcterms:W3CDTF">2026-01-30T08:20:00Z</dcterms:modified>
</cp:coreProperties>
</file>